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D9" w:rsidRPr="008D3820" w:rsidRDefault="00A32B26">
      <w:pPr>
        <w:rPr>
          <w:rFonts w:ascii="Trebuchet MS" w:hAnsi="Trebuchet MS" w:cs="TrebuchetMS,Bold"/>
          <w:b/>
          <w:bCs/>
          <w:color w:val="1F4E79"/>
          <w:sz w:val="20"/>
          <w:szCs w:val="20"/>
          <w:lang w:val="ro-RO"/>
        </w:rPr>
      </w:pPr>
      <w:r w:rsidRPr="008D3820">
        <w:rPr>
          <w:rFonts w:ascii="Trebuchet MS" w:hAnsi="Trebuchet MS" w:cs="TrebuchetMS,Bold"/>
          <w:b/>
          <w:bCs/>
          <w:color w:val="1F4E79"/>
          <w:sz w:val="20"/>
          <w:szCs w:val="20"/>
          <w:lang w:val="ro-RO"/>
        </w:rPr>
        <w:t>Anexa 3</w:t>
      </w:r>
      <w:r w:rsidR="00D96CD9" w:rsidRPr="008D3820">
        <w:rPr>
          <w:rFonts w:ascii="Trebuchet MS" w:hAnsi="Trebuchet MS" w:cs="TrebuchetMS,Bold"/>
          <w:b/>
          <w:bCs/>
          <w:color w:val="1F4E79"/>
          <w:sz w:val="20"/>
          <w:szCs w:val="20"/>
          <w:lang w:val="ro-RO"/>
        </w:rPr>
        <w:t xml:space="preserve"> – Criteriile de evaluare şi selecţie tehnică şi financiară</w:t>
      </w:r>
    </w:p>
    <w:tbl>
      <w:tblPr>
        <w:tblStyle w:val="TableGrid"/>
        <w:tblW w:w="13055" w:type="dxa"/>
        <w:tblLook w:val="04A0" w:firstRow="1" w:lastRow="0" w:firstColumn="1" w:lastColumn="0" w:noHBand="0" w:noVBand="1"/>
      </w:tblPr>
      <w:tblGrid>
        <w:gridCol w:w="630"/>
        <w:gridCol w:w="5305"/>
        <w:gridCol w:w="6204"/>
        <w:gridCol w:w="916"/>
      </w:tblGrid>
      <w:tr w:rsidR="008D3820" w:rsidRPr="008D3820" w:rsidTr="008D3820">
        <w:trPr>
          <w:cantSplit/>
          <w:tblHeader/>
        </w:trPr>
        <w:tc>
          <w:tcPr>
            <w:tcW w:w="630" w:type="dxa"/>
            <w:shd w:val="clear" w:color="auto" w:fill="BDD6EE" w:themeFill="accent1" w:themeFillTint="66"/>
          </w:tcPr>
          <w:p w:rsidR="00D96CD9" w:rsidRPr="008D3820" w:rsidRDefault="00D96CD9" w:rsidP="00D96CD9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Nr.</w:t>
            </w:r>
          </w:p>
          <w:p w:rsidR="00D96CD9" w:rsidRPr="008D3820" w:rsidRDefault="00D96CD9" w:rsidP="00D96CD9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crt.</w:t>
            </w:r>
          </w:p>
        </w:tc>
        <w:tc>
          <w:tcPr>
            <w:tcW w:w="5305" w:type="dxa"/>
            <w:shd w:val="clear" w:color="auto" w:fill="BDD6EE" w:themeFill="accent1" w:themeFillTint="66"/>
          </w:tcPr>
          <w:p w:rsidR="00D96CD9" w:rsidRPr="008D3820" w:rsidRDefault="00D96CD9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Criterii de selecţie</w:t>
            </w:r>
          </w:p>
        </w:tc>
        <w:tc>
          <w:tcPr>
            <w:tcW w:w="6204" w:type="dxa"/>
            <w:shd w:val="clear" w:color="auto" w:fill="BDD6EE" w:themeFill="accent1" w:themeFillTint="66"/>
          </w:tcPr>
          <w:p w:rsidR="00D96CD9" w:rsidRPr="008D3820" w:rsidRDefault="00D96CD9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Explicaţii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D96CD9" w:rsidRPr="008D3820" w:rsidRDefault="00D96CD9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Punctaj</w:t>
            </w:r>
          </w:p>
        </w:tc>
      </w:tr>
      <w:tr w:rsidR="008D3820" w:rsidRPr="008D3820" w:rsidTr="008D3820">
        <w:tc>
          <w:tcPr>
            <w:tcW w:w="630" w:type="dxa"/>
            <w:shd w:val="clear" w:color="auto" w:fill="DEEAF6" w:themeFill="accent1" w:themeFillTint="33"/>
          </w:tcPr>
          <w:p w:rsidR="00D96CD9" w:rsidRPr="008D3820" w:rsidRDefault="007E562C">
            <w:pPr>
              <w:rPr>
                <w:rFonts w:ascii="Trebuchet MS" w:hAnsi="Trebuchet MS" w:cs="TrebuchetMS,Bold"/>
                <w:b/>
                <w:bCs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:rsidR="00D96CD9" w:rsidRPr="008D3820" w:rsidRDefault="007E562C" w:rsidP="00EF7C87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sz w:val="18"/>
                <w:szCs w:val="18"/>
                <w:lang w:val="ro-RO"/>
              </w:rPr>
              <w:t xml:space="preserve">RELEVANŢĂ </w:t>
            </w:r>
            <w:r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>– măsura în care proiectul contribuie la</w:t>
            </w:r>
            <w:r w:rsidR="00EF7C87"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>realizarea obiectivelor din documentele strategice</w:t>
            </w:r>
            <w:r w:rsidR="00EF7C87"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>relevante şi la soluționarea nevoilor specifice ale grupului</w:t>
            </w:r>
            <w:r w:rsidR="00EF7C87"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>ţintă.</w:t>
            </w:r>
          </w:p>
        </w:tc>
        <w:tc>
          <w:tcPr>
            <w:tcW w:w="6204" w:type="dxa"/>
            <w:shd w:val="clear" w:color="auto" w:fill="DEEAF6" w:themeFill="accent1" w:themeFillTint="33"/>
          </w:tcPr>
          <w:p w:rsidR="007E562C" w:rsidRPr="008D3820" w:rsidRDefault="007E562C" w:rsidP="007E562C">
            <w:pPr>
              <w:autoSpaceDE w:val="0"/>
              <w:autoSpaceDN w:val="0"/>
              <w:adjustRightInd w:val="0"/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  <w:t>Dacă scorul obținut la acest criteriu nu este de minimum 21</w:t>
            </w:r>
            <w:r w:rsidR="00EF7C87" w:rsidRPr="008D3820"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  <w:t>puncte, proiectul nu va mai fi evaluat în continuare şi va fi</w:t>
            </w:r>
            <w:r w:rsidR="00EF7C87" w:rsidRPr="008D3820"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  <w:t>declarat respins, în situația în care nu se consideră</w:t>
            </w:r>
          </w:p>
          <w:p w:rsidR="00D96CD9" w:rsidRPr="008D3820" w:rsidRDefault="007E562C" w:rsidP="007E562C">
            <w:pPr>
              <w:rPr>
                <w:rFonts w:ascii="Trebuchet MS" w:hAnsi="Trebuchet MS" w:cs="TrebuchetMS,Bold"/>
                <w:b/>
                <w:bCs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sz w:val="18"/>
                <w:szCs w:val="18"/>
                <w:lang w:val="ro-RO"/>
              </w:rPr>
              <w:t>necesară solicitarea de clarificări.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E562C" w:rsidRPr="008D3820" w:rsidRDefault="007E562C" w:rsidP="007E562C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>Max. 30</w:t>
            </w:r>
          </w:p>
          <w:p w:rsidR="00D96CD9" w:rsidRPr="008D3820" w:rsidRDefault="007E562C" w:rsidP="007E562C">
            <w:pPr>
              <w:rPr>
                <w:rFonts w:ascii="Trebuchet MS" w:hAnsi="Trebuchet MS" w:cs="TrebuchetMS,Bold"/>
                <w:b/>
                <w:bCs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sz w:val="18"/>
                <w:szCs w:val="18"/>
                <w:lang w:val="ro-RO"/>
              </w:rPr>
              <w:t>Min. 21</w:t>
            </w:r>
          </w:p>
        </w:tc>
      </w:tr>
      <w:tr w:rsidR="008D3820" w:rsidRPr="008D3820" w:rsidTr="008D3820">
        <w:trPr>
          <w:trHeight w:val="890"/>
        </w:trPr>
        <w:tc>
          <w:tcPr>
            <w:tcW w:w="630" w:type="dxa"/>
            <w:vMerge w:val="restart"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1.1</w:t>
            </w:r>
          </w:p>
        </w:tc>
        <w:tc>
          <w:tcPr>
            <w:tcW w:w="5305" w:type="dxa"/>
            <w:vMerge w:val="restart"/>
          </w:tcPr>
          <w:p w:rsidR="00A32B26" w:rsidRPr="008D3820" w:rsidRDefault="00A32B26" w:rsidP="00725DE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contribuie la îndeplinirea obiectivelor din documentele strategice relevante pentru proiect</w:t>
            </w: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.</w:t>
            </w:r>
          </w:p>
        </w:tc>
        <w:tc>
          <w:tcPr>
            <w:tcW w:w="6204" w:type="dxa"/>
          </w:tcPr>
          <w:p w:rsidR="00A32B26" w:rsidRPr="008D3820" w:rsidRDefault="00A32B26" w:rsidP="00A32B26">
            <w:pPr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</w:pP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 xml:space="preserve">Din descrierea proiectului rezultă că acesta contribuie la realizarea obiectivelor </w:t>
            </w:r>
            <w:r w:rsidRPr="008D3820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Planului de dezvoltare regională </w:t>
            </w: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>aprobat în regiunea de dezvoltare în care va fi implementat.</w:t>
            </w:r>
          </w:p>
        </w:tc>
        <w:tc>
          <w:tcPr>
            <w:tcW w:w="0" w:type="auto"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A32B26" w:rsidRPr="008D3820" w:rsidRDefault="00A32B26" w:rsidP="00A32B2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A32B26" w:rsidRPr="008D3820" w:rsidRDefault="00A32B26" w:rsidP="00A32B26">
            <w:pPr>
              <w:jc w:val="both"/>
              <w:rPr>
                <w:rFonts w:ascii="Trebuchet MS" w:eastAsia="Times New Roman" w:hAnsi="Trebuchet MS" w:cs="Times New Roman"/>
                <w:bCs/>
                <w:color w:val="1F4E79" w:themeColor="accent1" w:themeShade="80"/>
                <w:sz w:val="18"/>
                <w:szCs w:val="18"/>
              </w:rPr>
            </w:pP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 xml:space="preserve">Din descrierea proiectului rezultă că acesta contribuie la realizarea obiectivelor </w:t>
            </w:r>
            <w:r w:rsidRPr="008D3820">
              <w:rPr>
                <w:rFonts w:ascii="Trebuchet MS" w:eastAsia="Times New Roman" w:hAnsi="Trebuchet MS" w:cs="Times New Roman"/>
                <w:bCs/>
                <w:i/>
                <w:color w:val="1F4E79" w:themeColor="accent1" w:themeShade="80"/>
                <w:sz w:val="18"/>
                <w:szCs w:val="18"/>
              </w:rPr>
              <w:t>Programului Operaţional Capital Uman 2014-2020,</w:t>
            </w:r>
            <w:r w:rsidRPr="008D3820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  <w:t xml:space="preserve"> </w:t>
            </w:r>
            <w:r w:rsidRPr="008D3820">
              <w:rPr>
                <w:rFonts w:ascii="Trebuchet MS" w:eastAsia="Times New Roman" w:hAnsi="Trebuchet MS" w:cs="Times New Roman"/>
                <w:bCs/>
                <w:i/>
                <w:color w:val="1F4E79" w:themeColor="accent1" w:themeShade="80"/>
                <w:sz w:val="18"/>
                <w:szCs w:val="18"/>
              </w:rPr>
              <w:t>Axa prioritară 2 –</w:t>
            </w:r>
            <w:r w:rsidRPr="008D3820">
              <w:rPr>
                <w:rFonts w:ascii="Trebuchet MS" w:eastAsia="Times New Roman" w:hAnsi="Trebuchet MS" w:cs="Times New Roman"/>
                <w:i/>
                <w:color w:val="1F4E79" w:themeColor="accent1" w:themeShade="80"/>
                <w:sz w:val="18"/>
                <w:szCs w:val="18"/>
              </w:rPr>
              <w:t xml:space="preserve">, </w:t>
            </w:r>
            <w:r w:rsidRPr="008D3820">
              <w:rPr>
                <w:rFonts w:ascii="Trebuchet MS" w:eastAsia="Times New Roman" w:hAnsi="Trebuchet MS" w:cs="Times New Roman"/>
                <w:bCs/>
                <w:i/>
                <w:color w:val="1F4E79" w:themeColor="accent1" w:themeShade="80"/>
                <w:sz w:val="18"/>
                <w:szCs w:val="18"/>
              </w:rPr>
              <w:t>Obiective specifice 2.1 si respectiv 2.2</w:t>
            </w:r>
          </w:p>
        </w:tc>
        <w:tc>
          <w:tcPr>
            <w:tcW w:w="0" w:type="auto"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A32B26" w:rsidRPr="008D3820" w:rsidRDefault="00A32B26" w:rsidP="00A32B2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A32B26" w:rsidRPr="008D3820" w:rsidRDefault="00A32B26" w:rsidP="00A32B26">
            <w:pPr>
              <w:jc w:val="both"/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 xml:space="preserve">Din descrierea proiectului rezultă că acesta contribuie la realizarea obiectivelor </w:t>
            </w:r>
            <w:r w:rsidRPr="008D3820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  <w:t>Strategiei naționale pentru competitivitate 2014-2020.</w:t>
            </w:r>
          </w:p>
        </w:tc>
        <w:tc>
          <w:tcPr>
            <w:tcW w:w="0" w:type="auto"/>
          </w:tcPr>
          <w:p w:rsidR="00A32B26" w:rsidRPr="008D3820" w:rsidRDefault="006B70CF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127678">
        <w:trPr>
          <w:trHeight w:val="845"/>
        </w:trPr>
        <w:tc>
          <w:tcPr>
            <w:tcW w:w="630" w:type="dxa"/>
            <w:vMerge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A32B26" w:rsidRPr="008D3820" w:rsidRDefault="00A32B26" w:rsidP="00A32B2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A32B26" w:rsidRPr="008D3820" w:rsidRDefault="00A32B26" w:rsidP="00A32B26">
            <w:pPr>
              <w:spacing w:after="240"/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</w:pP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 xml:space="preserve">Din descrierea proiectului rezultă că acesta contribuie la realizarea obiectivelor </w:t>
            </w:r>
            <w:r w:rsidRPr="008D3820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  <w:t>Strategiei guvernamentale pentru dezvoltarea sectorului întreprinderilor mici și mijlocii și îmbunătățirea mediului de afaceri din România - Orizont 2020.</w:t>
            </w:r>
          </w:p>
        </w:tc>
        <w:tc>
          <w:tcPr>
            <w:tcW w:w="0" w:type="auto"/>
          </w:tcPr>
          <w:p w:rsidR="00A32B26" w:rsidRPr="008D3820" w:rsidRDefault="006B70CF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A32B26" w:rsidRPr="008D3820" w:rsidRDefault="00A32B26" w:rsidP="00A32B2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A32B26" w:rsidRPr="008D3820" w:rsidRDefault="00A32B26" w:rsidP="00A32B26">
            <w:pPr>
              <w:jc w:val="both"/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</w:pP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 xml:space="preserve">Din descrierea proiectului rezultă că acesta contribuie la realizarea obiectivelor </w:t>
            </w:r>
            <w:r w:rsidRPr="008D3820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  <w:t>Strategiei naționale pentru incluziunea socială și reducerea sărăciei.</w:t>
            </w:r>
          </w:p>
        </w:tc>
        <w:tc>
          <w:tcPr>
            <w:tcW w:w="0" w:type="auto"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A32B26" w:rsidRPr="008D3820" w:rsidRDefault="00A32B26" w:rsidP="00A32B2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A32B26" w:rsidRPr="008D3820" w:rsidRDefault="00A32B26" w:rsidP="00A32B26">
            <w:pPr>
              <w:jc w:val="both"/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</w:pPr>
            <w:r w:rsidRPr="008D3820">
              <w:rPr>
                <w:rFonts w:ascii="Trebuchet MS" w:eastAsia="Times New Roman" w:hAnsi="Trebuchet MS" w:cs="Times New Roman"/>
                <w:color w:val="1F4E79" w:themeColor="accent1" w:themeShade="80"/>
                <w:sz w:val="18"/>
                <w:szCs w:val="18"/>
              </w:rPr>
              <w:t xml:space="preserve">Din descrierea proiectului rezultă că acesta contribuie la realizarea obiectivelor </w:t>
            </w:r>
            <w:r w:rsidRPr="008D3820">
              <w:rPr>
                <w:rFonts w:ascii="Trebuchet MS" w:eastAsia="Times New Roman" w:hAnsi="Trebuchet MS" w:cs="Times New Roman"/>
                <w:i/>
                <w:iCs/>
                <w:color w:val="1F4E79" w:themeColor="accent1" w:themeShade="80"/>
                <w:sz w:val="18"/>
                <w:szCs w:val="18"/>
              </w:rPr>
              <w:t>Strategiei naționale de ocupare a forței de muncă 2014-2020.</w:t>
            </w:r>
          </w:p>
        </w:tc>
        <w:tc>
          <w:tcPr>
            <w:tcW w:w="0" w:type="auto"/>
          </w:tcPr>
          <w:p w:rsidR="00A32B26" w:rsidRPr="008D3820" w:rsidRDefault="00A32B26" w:rsidP="00A32B26">
            <w:pPr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</w:tcPr>
          <w:p w:rsidR="00A32B26" w:rsidRPr="008D3820" w:rsidRDefault="00A32B26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1.2</w:t>
            </w:r>
          </w:p>
        </w:tc>
        <w:tc>
          <w:tcPr>
            <w:tcW w:w="5305" w:type="dxa"/>
          </w:tcPr>
          <w:p w:rsidR="00A32B26" w:rsidRPr="008D3820" w:rsidRDefault="00A32B26" w:rsidP="00EF7C87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Grupul țintă este definit clar și cuantificat, în relaţie cu analiza de nevoi şi resursele din cadrul proiectului</w:t>
            </w:r>
          </w:p>
        </w:tc>
        <w:tc>
          <w:tcPr>
            <w:tcW w:w="6204" w:type="dxa"/>
          </w:tcPr>
          <w:p w:rsidR="00A32B26" w:rsidRPr="008D3820" w:rsidRDefault="00A32B26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Natura şi dimensiunea grupului ţintă (compus doar din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persoanele care beneficiază în mod direct de activitățile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proiectului) sunt luate în considerare in functie de natura şi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complexitatea activităţilor implementate şi de resursele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puse la dispoziție prin proiect</w:t>
            </w:r>
          </w:p>
        </w:tc>
        <w:tc>
          <w:tcPr>
            <w:tcW w:w="0" w:type="auto"/>
          </w:tcPr>
          <w:p w:rsidR="00A32B26" w:rsidRPr="008D3820" w:rsidRDefault="00A32B26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A32B26" w:rsidRPr="008D3820" w:rsidRDefault="00A32B26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1.3</w:t>
            </w:r>
          </w:p>
        </w:tc>
        <w:tc>
          <w:tcPr>
            <w:tcW w:w="5305" w:type="dxa"/>
            <w:vMerge w:val="restart"/>
          </w:tcPr>
          <w:p w:rsidR="00A32B26" w:rsidRPr="008D3820" w:rsidRDefault="00A32B26" w:rsidP="00EF7C87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Nevoile grupului țintă sunt clar identificate, fundamentate prin analiza proprie a solicitantului, sunt specifice proiectului şi corelate cu obiectivele acestuia (se va face referire la sursele de informații pentru analiza de nevoi realizată de solicitant)</w:t>
            </w:r>
          </w:p>
        </w:tc>
        <w:tc>
          <w:tcPr>
            <w:tcW w:w="6204" w:type="dxa"/>
          </w:tcPr>
          <w:p w:rsidR="00A32B26" w:rsidRPr="008D3820" w:rsidRDefault="00A32B26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Nevoile grupului ţintă vizat prin proiect sunt identificate de către solicitant pe baza unei analize proprii, având ca surse alte studii, date statistice şi/sau cercetarea proprie</w:t>
            </w:r>
          </w:p>
        </w:tc>
        <w:tc>
          <w:tcPr>
            <w:tcW w:w="0" w:type="auto"/>
          </w:tcPr>
          <w:p w:rsidR="00A32B26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A32B26" w:rsidRPr="008D3820" w:rsidRDefault="00A32B26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A32B26" w:rsidRPr="008D3820" w:rsidRDefault="00A32B26" w:rsidP="00EF7C8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A32B26" w:rsidRPr="008D3820" w:rsidRDefault="00A32B26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 prezintă detaliat metodologia şi rezultatele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analizei</w:t>
            </w:r>
          </w:p>
        </w:tc>
        <w:tc>
          <w:tcPr>
            <w:tcW w:w="0" w:type="auto"/>
          </w:tcPr>
          <w:p w:rsidR="00A32B26" w:rsidRPr="008D3820" w:rsidRDefault="00A32B26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</w:tcPr>
          <w:p w:rsidR="00D96CD9" w:rsidRPr="008D3820" w:rsidRDefault="006E6161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1.4</w:t>
            </w:r>
          </w:p>
        </w:tc>
        <w:tc>
          <w:tcPr>
            <w:tcW w:w="5305" w:type="dxa"/>
          </w:tcPr>
          <w:p w:rsidR="00D96CD9" w:rsidRPr="008D3820" w:rsidRDefault="006E6161" w:rsidP="00416AC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contribuie prin activitățile propuse la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promovarea temelor orizontale din POCU 2014-2020,</w:t>
            </w:r>
            <w:r w:rsidR="006B70CF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conform specificaţiilor din Ghidului Solicitantului -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Condiții Specifice (dezvoltare durabilă, egalitate de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şanse, nediscriminare, cooperare transnaţională 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–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acolo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unde este cazul)</w:t>
            </w:r>
          </w:p>
        </w:tc>
        <w:tc>
          <w:tcPr>
            <w:tcW w:w="6204" w:type="dxa"/>
          </w:tcPr>
          <w:p w:rsidR="00D96CD9" w:rsidRPr="008D3820" w:rsidRDefault="00B37156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Este prezentată în proiect modalitatea în care sunt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respectate temele orizontale ale UE, specificate în Ghidul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Solicitantului - Condiții Specifice pentru domeniul respectiv</w:t>
            </w:r>
            <w:bookmarkStart w:id="0" w:name="_GoBack"/>
            <w:bookmarkEnd w:id="0"/>
          </w:p>
        </w:tc>
        <w:tc>
          <w:tcPr>
            <w:tcW w:w="0" w:type="auto"/>
          </w:tcPr>
          <w:p w:rsidR="00D96CD9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</w:tcPr>
          <w:p w:rsidR="00D96CD9" w:rsidRPr="008D3820" w:rsidRDefault="0014208B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lastRenderedPageBreak/>
              <w:t>1.5</w:t>
            </w:r>
          </w:p>
        </w:tc>
        <w:tc>
          <w:tcPr>
            <w:tcW w:w="5305" w:type="dxa"/>
          </w:tcPr>
          <w:p w:rsidR="00D96CD9" w:rsidRPr="008D3820" w:rsidRDefault="0014208B" w:rsidP="00416ACB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contribuie prin activitățile propuse la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promovarea temelor secundare din POCU 2014-2020,conform specificaţiilor din Ghidului Solicitantului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(utilizare TIC, inovare socială)</w:t>
            </w:r>
          </w:p>
        </w:tc>
        <w:tc>
          <w:tcPr>
            <w:tcW w:w="6204" w:type="dxa"/>
          </w:tcPr>
          <w:p w:rsidR="00D96CD9" w:rsidRPr="008D3820" w:rsidRDefault="00B37156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Este prezentată în proiect modalitatea în care sunt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respectate temele secundare ale UE, specificate în Ghidul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Solicitantului - Condiții Specifice pentru domeniul respectiv</w:t>
            </w:r>
          </w:p>
        </w:tc>
        <w:tc>
          <w:tcPr>
            <w:tcW w:w="0" w:type="auto"/>
          </w:tcPr>
          <w:p w:rsidR="00D96CD9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6B70CF" w:rsidRPr="008D3820" w:rsidRDefault="006B70CF" w:rsidP="007967B8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1.6</w:t>
            </w:r>
          </w:p>
        </w:tc>
        <w:tc>
          <w:tcPr>
            <w:tcW w:w="5305" w:type="dxa"/>
            <w:vMerge w:val="restart"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include descrierea clară a solicitantului și, după caz, a partenerilor, a rolului acestora, a utilității şi relevanţei experienței fiecărui membru al parteneriatului în raport cu nevoile identificate ale grupului ţintă şi cu obiectivele proiectului</w:t>
            </w:r>
          </w:p>
        </w:tc>
        <w:tc>
          <w:tcPr>
            <w:tcW w:w="6204" w:type="dxa"/>
          </w:tcPr>
          <w:p w:rsidR="006B70CF" w:rsidRPr="008D3820" w:rsidRDefault="006B70CF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Este descrisă experienţa solicitantului şi a partenerilor,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implicarea acestora în proiect şi sunt prezentate resursele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materiale şi umane pe care le are fiecare la dispoziţie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pentru implementarea proiectului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6B70CF" w:rsidRPr="008D3820" w:rsidRDefault="006B70CF" w:rsidP="007967B8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6B70CF" w:rsidRPr="008D3820" w:rsidRDefault="006B70CF" w:rsidP="00B37156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Experiența solicitantului și, dacă e cazul, fiecare dintre parteneri în cadrul proiectului are legătură directă cu activitățile pe care le va implementa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6B70CF" w:rsidRPr="008D3820" w:rsidRDefault="006B70CF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Implicarea partenerului în proiect aduce plus-valoare,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maximizând rezultatele proiectului şi calitatea acestora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</w:tr>
      <w:tr w:rsidR="008D3820" w:rsidRPr="008D3820" w:rsidTr="008D3820">
        <w:tc>
          <w:tcPr>
            <w:tcW w:w="630" w:type="dxa"/>
            <w:shd w:val="clear" w:color="auto" w:fill="DEEAF6" w:themeFill="accent1" w:themeFillTint="33"/>
          </w:tcPr>
          <w:p w:rsidR="00D96CD9" w:rsidRPr="008D3820" w:rsidRDefault="00C503B3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:rsidR="00D96CD9" w:rsidRPr="008D3820" w:rsidRDefault="00C503B3" w:rsidP="00416ACB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 xml:space="preserve">EFICACITATE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– măsura în care rezultatele proiectului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contribuie la atingerea obiectivelor propuse</w:t>
            </w:r>
          </w:p>
        </w:tc>
        <w:tc>
          <w:tcPr>
            <w:tcW w:w="6204" w:type="dxa"/>
            <w:shd w:val="clear" w:color="auto" w:fill="DEEAF6" w:themeFill="accent1" w:themeFillTint="33"/>
          </w:tcPr>
          <w:p w:rsidR="00D96CD9" w:rsidRPr="008D3820" w:rsidRDefault="00C503B3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Dacă scorul obţinut la acest criteriu nu este de minimum 21</w:t>
            </w:r>
            <w:r w:rsidR="00416ACB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puncte, proiectul nu va mai fi evaluat în continuare şi va fi</w:t>
            </w:r>
            <w:r w:rsidR="00416ACB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declarat respins, în situaţia în care nu se consideră</w:t>
            </w:r>
            <w:r w:rsidR="008D3820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necesară solicitarea de clarificări.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C503B3" w:rsidRPr="008D3820" w:rsidRDefault="00C503B3" w:rsidP="00C503B3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Max. 30</w:t>
            </w:r>
          </w:p>
          <w:p w:rsidR="00D96CD9" w:rsidRPr="008D3820" w:rsidRDefault="00C503B3" w:rsidP="00C503B3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Min. 21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2.1</w:t>
            </w:r>
          </w:p>
        </w:tc>
        <w:tc>
          <w:tcPr>
            <w:tcW w:w="5305" w:type="dxa"/>
            <w:vMerge w:val="restart"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Indicatorii de realizare imediată sunt rezultatul direct al activităţilor proiectului, ţintele sunt realiste (cuantificate corect) şi conduc la îndeplinirea obiectivelor proiectului</w:t>
            </w:r>
          </w:p>
        </w:tc>
        <w:tc>
          <w:tcPr>
            <w:tcW w:w="6204" w:type="dxa"/>
          </w:tcPr>
          <w:p w:rsidR="006B70CF" w:rsidRPr="008D3820" w:rsidRDefault="006B70CF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Există corelaţie între activităţi, realizările imediate (natură şi ţinte) şi grupul ţintă (natură şi dimensiune)</w:t>
            </w:r>
            <w:r w:rsidRPr="008D3820"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6B70CF" w:rsidRPr="008D3820" w:rsidRDefault="006B70CF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Activităţile sunt descrise detaliat şi contribuie în mod direct la atingerea indicatorilor de realizare imediată propuşi prin proiect, având în vedere resursele financiare, umane şi materiale ale proiectului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6B70CF" w:rsidRPr="008D3820" w:rsidRDefault="006B70CF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6B70CF" w:rsidRPr="008D3820" w:rsidRDefault="006B70CF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Ţintele propuse sunt stabilite în funcţie de tipul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activităţilor, graficul de planificare a activităţilor, resursele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prevăzute, natura rezultatelor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2.2</w:t>
            </w:r>
          </w:p>
        </w:tc>
        <w:tc>
          <w:tcPr>
            <w:tcW w:w="5305" w:type="dxa"/>
            <w:vMerge w:val="restart"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Indicatorii de rezultat sunt corelaţi cu obiectivele proiectului şi conduc la îndeplinirea obiectivelor de program</w:t>
            </w:r>
          </w:p>
        </w:tc>
        <w:tc>
          <w:tcPr>
            <w:tcW w:w="6204" w:type="dxa"/>
          </w:tcPr>
          <w:p w:rsidR="006B70CF" w:rsidRPr="008D3820" w:rsidRDefault="006B70CF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Există corelaţie între realizările imediate, rezultatele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(natură şi ţinte) şi obiectivele de program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6B70CF" w:rsidRPr="008D3820" w:rsidRDefault="006B70CF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6B70CF" w:rsidRPr="008D3820" w:rsidRDefault="006B70CF" w:rsidP="00416ACB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6B70CF" w:rsidRPr="008D3820" w:rsidRDefault="006B70CF" w:rsidP="00A70DAE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Rezultatele proiectului contribuie la realizarea obiectivelor de program aferente domeniului respectiv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</w:tcPr>
          <w:p w:rsidR="00D96CD9" w:rsidRPr="008D3820" w:rsidRDefault="00A70DAE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2.3</w:t>
            </w:r>
          </w:p>
        </w:tc>
        <w:tc>
          <w:tcPr>
            <w:tcW w:w="5305" w:type="dxa"/>
          </w:tcPr>
          <w:p w:rsidR="00D96CD9" w:rsidRPr="008D3820" w:rsidRDefault="00A70DAE" w:rsidP="00416ACB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Este identificată modalitatea de recrutare a grupului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="008B0122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ţ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intă </w:t>
            </w:r>
            <w:r w:rsidR="008B0122" w:rsidRPr="008D3820">
              <w:rPr>
                <w:rFonts w:ascii="Trebuchet MS" w:hAnsi="Trebuchet MS" w:cs="Arial"/>
                <w:color w:val="1F4E79"/>
                <w:sz w:val="18"/>
                <w:szCs w:val="18"/>
                <w:lang w:val="ro-RO"/>
              </w:rPr>
              <w:t>ş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i proiectul justifică de ce sunt abordate anumite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categorii specifice de persoane care fac parte din grupul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="008B0122" w:rsidRPr="008D3820">
              <w:rPr>
                <w:rFonts w:ascii="Trebuchet MS" w:hAnsi="Trebuchet MS" w:cs="Arial"/>
                <w:color w:val="1F4E79"/>
                <w:sz w:val="18"/>
                <w:szCs w:val="18"/>
                <w:lang w:val="ro-RO"/>
              </w:rPr>
              <w:t>ţ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intă (în cazul în care această condi</w:t>
            </w:r>
            <w:r w:rsidR="008B0122" w:rsidRPr="008D3820">
              <w:rPr>
                <w:rFonts w:ascii="Trebuchet MS" w:hAnsi="Trebuchet MS" w:cs="Arial"/>
                <w:color w:val="1F4E79"/>
                <w:sz w:val="18"/>
                <w:szCs w:val="18"/>
                <w:lang w:val="ro-RO"/>
              </w:rPr>
              <w:t>ţ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ie este aplicabilă</w:t>
            </w:r>
            <w:r w:rsidR="00416ACB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în contextul Ghidului Solicitantului)</w:t>
            </w:r>
          </w:p>
        </w:tc>
        <w:tc>
          <w:tcPr>
            <w:tcW w:w="6204" w:type="dxa"/>
          </w:tcPr>
          <w:p w:rsidR="00D96CD9" w:rsidRPr="008D3820" w:rsidRDefault="00A70DAE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Se oferă detalii privind modalitatea de identificare şi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implicare a membrilor grupului ţintă în activităţile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proiectului, asigurarea prezenţei numărului de membri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propus, ca de exemplu prezenţa la sesiuni de instruire)</w:t>
            </w:r>
          </w:p>
        </w:tc>
        <w:tc>
          <w:tcPr>
            <w:tcW w:w="0" w:type="auto"/>
          </w:tcPr>
          <w:p w:rsidR="00D96CD9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2.4</w:t>
            </w:r>
          </w:p>
        </w:tc>
        <w:tc>
          <w:tcPr>
            <w:tcW w:w="5305" w:type="dxa"/>
            <w:vMerge w:val="restart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prezintă valoare adăugată</w:t>
            </w:r>
          </w:p>
        </w:tc>
        <w:tc>
          <w:tcPr>
            <w:tcW w:w="6204" w:type="dxa"/>
          </w:tcPr>
          <w:p w:rsidR="006B70CF" w:rsidRPr="008D3820" w:rsidRDefault="006B70CF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Sunt descrise beneficiile suplimentare pe care membrii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grupului ţintă le primesc exclusiv ca urmare a implementării proiectului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6B70CF" w:rsidRPr="008D3820" w:rsidRDefault="006B70CF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6B70CF" w:rsidRPr="008D3820" w:rsidRDefault="006B70CF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6B70CF" w:rsidRPr="008D3820" w:rsidRDefault="006B70CF" w:rsidP="00A70DAE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Impactul estimat asupra grupului țintă şi asupra domeniului este realist</w:t>
            </w:r>
          </w:p>
        </w:tc>
        <w:tc>
          <w:tcPr>
            <w:tcW w:w="0" w:type="auto"/>
          </w:tcPr>
          <w:p w:rsidR="006B70CF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</w:tr>
      <w:tr w:rsidR="008D3820" w:rsidRPr="008D3820" w:rsidTr="008D3820">
        <w:tc>
          <w:tcPr>
            <w:tcW w:w="630" w:type="dxa"/>
          </w:tcPr>
          <w:p w:rsidR="00D96CD9" w:rsidRPr="008D3820" w:rsidRDefault="00A70DAE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2.5</w:t>
            </w:r>
          </w:p>
        </w:tc>
        <w:tc>
          <w:tcPr>
            <w:tcW w:w="5305" w:type="dxa"/>
          </w:tcPr>
          <w:p w:rsidR="00D96CD9" w:rsidRPr="008D3820" w:rsidRDefault="00A70DAE" w:rsidP="00167B21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prevede măsuri de monitorizare adecvate în</w:t>
            </w:r>
            <w:r w:rsidR="00167B21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raport cu complexitatea proiectului, pentru a asigura atingerea rezultatelor vizate</w:t>
            </w:r>
          </w:p>
        </w:tc>
        <w:tc>
          <w:tcPr>
            <w:tcW w:w="6204" w:type="dxa"/>
          </w:tcPr>
          <w:p w:rsidR="00D96CD9" w:rsidRPr="008D3820" w:rsidRDefault="00A70DAE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Modalitatea de realizare a monitorizării interne a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activităţilor proiectului poate constitui o garanţie a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atingerii rezultatelor propuse</w:t>
            </w:r>
          </w:p>
        </w:tc>
        <w:tc>
          <w:tcPr>
            <w:tcW w:w="0" w:type="auto"/>
          </w:tcPr>
          <w:p w:rsidR="00D96CD9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</w:tcPr>
          <w:p w:rsidR="00D96CD9" w:rsidRPr="008D3820" w:rsidRDefault="00A70DAE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2.6</w:t>
            </w:r>
          </w:p>
        </w:tc>
        <w:tc>
          <w:tcPr>
            <w:tcW w:w="5305" w:type="dxa"/>
          </w:tcPr>
          <w:p w:rsidR="00D96CD9" w:rsidRPr="008D3820" w:rsidRDefault="00A70DAE" w:rsidP="00167B21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În proiect sunt identificate supozițiile și riscurile care pot</w:t>
            </w:r>
            <w:r w:rsidR="00167B21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afecta atingerea obiectivelor proiectului şi este prevăzut</w:t>
            </w:r>
            <w:r w:rsidR="00167B21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un plan de gestionare a acestora</w:t>
            </w:r>
          </w:p>
        </w:tc>
        <w:tc>
          <w:tcPr>
            <w:tcW w:w="6204" w:type="dxa"/>
          </w:tcPr>
          <w:p w:rsidR="008D3820" w:rsidRPr="008D3820" w:rsidRDefault="00A70DAE" w:rsidP="007129DE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Sunt descrise premisele pe baza cărora proiectul poate fi</w:t>
            </w:r>
            <w:r w:rsidR="00167B21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implementat cu succes, precum şi riscurile şi impactul</w:t>
            </w:r>
            <w:r w:rsidR="007129DE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acestora asupra desfăşurării proiectului şi a atingerii</w:t>
            </w:r>
            <w:r w:rsidR="007129DE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indicatorilor propuşi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</w:p>
          <w:p w:rsidR="00BE515D" w:rsidRPr="008D3820" w:rsidRDefault="00A70DAE" w:rsidP="007129DE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Sunt prezentate măsurile de prevenire a apariţiei riscurior</w:t>
            </w:r>
            <w:r w:rsidR="007129DE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şi de atenuare a efectelor acestora în cazul apariţiei lor</w:t>
            </w:r>
          </w:p>
          <w:p w:rsidR="00DE5202" w:rsidRPr="008D3820" w:rsidRDefault="00A70DAE" w:rsidP="007129DE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lastRenderedPageBreak/>
              <w:t>Descrierea riscurilor şi a eficienţei măsurilor de prevenţie şi</w:t>
            </w:r>
            <w:r w:rsidR="005D604D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de minimizare a efectelor este realistă (nu se va acorda</w:t>
            </w:r>
            <w:r w:rsidR="007129DE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prioritate numărului riscurilor identificate)</w:t>
            </w:r>
          </w:p>
        </w:tc>
        <w:tc>
          <w:tcPr>
            <w:tcW w:w="0" w:type="auto"/>
          </w:tcPr>
          <w:p w:rsidR="00D96CD9" w:rsidRPr="008D3820" w:rsidRDefault="006B70CF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lastRenderedPageBreak/>
              <w:t>2</w:t>
            </w:r>
          </w:p>
        </w:tc>
      </w:tr>
      <w:tr w:rsidR="008D3820" w:rsidRPr="008D3820" w:rsidTr="008D3820">
        <w:tc>
          <w:tcPr>
            <w:tcW w:w="630" w:type="dxa"/>
            <w:shd w:val="clear" w:color="auto" w:fill="DEEAF6" w:themeFill="accent1" w:themeFillTint="33"/>
          </w:tcPr>
          <w:p w:rsidR="00D96CD9" w:rsidRPr="008D3820" w:rsidRDefault="00A70DAE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:rsidR="00D96CD9" w:rsidRPr="008D3820" w:rsidRDefault="00A70DAE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 xml:space="preserve">EFICIENŢĂ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– măsura în care proiectul asigură utilizarea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optimă a resurselor financiare in termeni de</w:t>
            </w:r>
            <w:r w:rsidR="009B0096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rezonabilitate a costurilor, fundamentarea bugetului,respectarea plafoanelor prevazute in Orientarile Generale</w:t>
            </w:r>
            <w:r w:rsidR="009B0096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în vederea atingerii rezultatelor propuse precum si</w:t>
            </w:r>
            <w:r w:rsidR="009B0096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asigurarea capacitatii operationale a solicitantului si</w:t>
            </w:r>
            <w:r w:rsidR="009B0096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partenerilor (acolo unde proiectul se implementeaza in</w:t>
            </w:r>
            <w:r w:rsidR="009B0096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parteneriat)</w:t>
            </w:r>
          </w:p>
        </w:tc>
        <w:tc>
          <w:tcPr>
            <w:tcW w:w="6204" w:type="dxa"/>
            <w:shd w:val="clear" w:color="auto" w:fill="DEEAF6" w:themeFill="accent1" w:themeFillTint="33"/>
          </w:tcPr>
          <w:p w:rsidR="00D96CD9" w:rsidRPr="008D3820" w:rsidRDefault="00A70DAE" w:rsidP="009B0096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Dacă scorul obţinut la acest criteriu nu este de minimum 21puncte, proiectul nu va mai fi evaluat în continuare şi va fi</w:t>
            </w:r>
            <w:r w:rsidR="009B0096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declarat respins, în situaţia în care nu se </w:t>
            </w:r>
            <w:r w:rsidR="009B0096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consider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necesară solicitarea de clarificări.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A70DAE" w:rsidRPr="008D3820" w:rsidRDefault="00A70DAE" w:rsidP="00A70DAE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Max. 30</w:t>
            </w:r>
          </w:p>
          <w:p w:rsidR="00D96CD9" w:rsidRPr="008D3820" w:rsidRDefault="00A70DAE" w:rsidP="00A70DAE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Min. 21</w:t>
            </w:r>
          </w:p>
        </w:tc>
      </w:tr>
      <w:tr w:rsidR="008D3820" w:rsidRPr="008D3820" w:rsidTr="008D3820">
        <w:tc>
          <w:tcPr>
            <w:tcW w:w="630" w:type="dxa"/>
          </w:tcPr>
          <w:p w:rsidR="00D96CD9" w:rsidRPr="008D3820" w:rsidRDefault="009B3D8E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3.1</w:t>
            </w:r>
          </w:p>
        </w:tc>
        <w:tc>
          <w:tcPr>
            <w:tcW w:w="5305" w:type="dxa"/>
          </w:tcPr>
          <w:p w:rsidR="00D96CD9" w:rsidRPr="008D3820" w:rsidRDefault="009B3D8E" w:rsidP="00036417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vertAlign w:val="superscript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Costurile incluse în buget sunt realiste în raport cu nivelul</w:t>
            </w:r>
            <w:r w:rsidR="00B85A5C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pieței, fundamentate printr-o analiză realizată de</w:t>
            </w:r>
            <w:r w:rsidR="00036417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solicitant.</w:t>
            </w:r>
          </w:p>
        </w:tc>
        <w:tc>
          <w:tcPr>
            <w:tcW w:w="6204" w:type="dxa"/>
          </w:tcPr>
          <w:p w:rsidR="00D96CD9" w:rsidRPr="008D3820" w:rsidRDefault="009B3D8E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Este prezentată o analiză a costurilor de pe piaţă pentru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servicii/bunuri similare</w:t>
            </w:r>
          </w:p>
        </w:tc>
        <w:tc>
          <w:tcPr>
            <w:tcW w:w="0" w:type="auto"/>
          </w:tcPr>
          <w:p w:rsidR="00D96CD9" w:rsidRPr="008D3820" w:rsidRDefault="00795998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3.2</w:t>
            </w:r>
          </w:p>
        </w:tc>
        <w:tc>
          <w:tcPr>
            <w:tcW w:w="5305" w:type="dxa"/>
            <w:vMerge w:val="restart"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vertAlign w:val="superscript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Costurile incluse în buget sunt oportune în raport cu activitățile propuse și rezultatele așteptate.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vertAlign w:val="superscript"/>
                <w:lang w:val="ro-RO"/>
              </w:rPr>
              <w:t>11</w:t>
            </w:r>
          </w:p>
        </w:tc>
        <w:tc>
          <w:tcPr>
            <w:tcW w:w="6204" w:type="dxa"/>
          </w:tcPr>
          <w:p w:rsidR="00BE515D" w:rsidRPr="008D3820" w:rsidRDefault="00BE515D" w:rsidP="002F35CB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Există un raport rezonabil între rezultatele urmărite și 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costul alocat acestora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3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Nivelurile costurilor estimate sunt adecvate opţiunilor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tehnice propuse și specificului activităţilor, rezultatelor şi resurselor existente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3.3</w:t>
            </w:r>
          </w:p>
        </w:tc>
        <w:tc>
          <w:tcPr>
            <w:tcW w:w="5305" w:type="dxa"/>
            <w:vMerge w:val="restart"/>
          </w:tcPr>
          <w:p w:rsidR="00BE515D" w:rsidRPr="008D3820" w:rsidRDefault="00BE515D" w:rsidP="00036417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Resursele umane (număr persoane, experiența profesională a acestora, implicarea acestora în proiect) sunt adecvate în raport cu activitățile propuse și rezultatele așteptate.</w:t>
            </w: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Pozițiile membrilor echipei de management a proiectului sunt justificate, având atribuții individuale, care nu se suprapun, chiar dacă proiectul se implementează în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parteneriat s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au se apelează la externalizare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03641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Echipa de implementare a proiectului este adecvată în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raport cu planul de implementare a proiectului și cu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rezultatele estimate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036417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Implicarea în proiect a tuturor membrilor echipei este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adecvată realizărilor propuse şi planificării activităţilor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(activitatea membrilor echipei de proiect este eficientă)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3.4</w:t>
            </w:r>
          </w:p>
        </w:tc>
        <w:tc>
          <w:tcPr>
            <w:tcW w:w="5305" w:type="dxa"/>
            <w:vMerge w:val="restart"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Resursele materiale sunt adecvate ca natură, structură şi dimensiune în raport cu activitățile propuse și rezultatele așteptate.</w:t>
            </w: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Resursele materiale puse la dispoziție de solicitant și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parteneri (dacă este cazul) sunt utile pentru buna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implementare a proiectului (sedii, echipamente IT,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mijlo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ace de transport etc.)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Necesitatea resurselor materiale ce urmează a fi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achiziționate din bugetul proiectului este justificată și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contribuie la buna implementare a acestuia (sedii,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echipamente 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IT, mijloace de transport etc.)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BE515D" w:rsidRPr="008D3820" w:rsidRDefault="00BE515D" w:rsidP="008D3820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3.5</w:t>
            </w:r>
          </w:p>
        </w:tc>
        <w:tc>
          <w:tcPr>
            <w:tcW w:w="5305" w:type="dxa"/>
            <w:vMerge w:val="restart"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Planificarea activităților proiectului este raţională în raport cu natura activităților propuse și cu rezultatele așteptate.</w:t>
            </w: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Planificarea activităţilor se face în funcţie de natura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acesto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ra, succesiunea lor este logică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BE515D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Termenele de realizare ţin cont de durata de obţinere a rezultatelor şi de resursele puse la dispoziţie prin proiect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</w:tcPr>
          <w:p w:rsidR="00A86687" w:rsidRPr="008D3820" w:rsidRDefault="006672E2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3.6</w:t>
            </w:r>
          </w:p>
        </w:tc>
        <w:tc>
          <w:tcPr>
            <w:tcW w:w="5305" w:type="dxa"/>
          </w:tcPr>
          <w:p w:rsidR="00A86687" w:rsidRPr="008D3820" w:rsidRDefault="006672E2" w:rsidP="005D604D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Resursele care vor fi achizitionate sunt justificate în</w:t>
            </w:r>
            <w:r w:rsidR="005D604D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raport cu activitățile şi cu rezultatele proiectului.</w:t>
            </w:r>
          </w:p>
        </w:tc>
        <w:tc>
          <w:tcPr>
            <w:tcW w:w="6204" w:type="dxa"/>
          </w:tcPr>
          <w:p w:rsidR="00A86687" w:rsidRPr="008D3820" w:rsidRDefault="006672E2" w:rsidP="008D3820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Este justificată achizitia, în raport cu activităţile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proiectului şi cu resursele existente la solicitant şi la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partener, dacă este cazul</w:t>
            </w:r>
          </w:p>
        </w:tc>
        <w:tc>
          <w:tcPr>
            <w:tcW w:w="0" w:type="auto"/>
          </w:tcPr>
          <w:p w:rsidR="00A86687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3.7</w:t>
            </w:r>
          </w:p>
        </w:tc>
        <w:tc>
          <w:tcPr>
            <w:tcW w:w="5305" w:type="dxa"/>
            <w:vMerge w:val="restart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Experienta operationala a solicitantului si partenerilor (acolo unde proiectul se implementeaza in parteneriat) </w:t>
            </w: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Solicitantul are experiență de minimum 12 luni în cel puțin unul din domeniile de activitate, aferente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a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ctivităților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relevante pe care acesta le implementează în cadrul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proiectului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0000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Fiecare partener are experiență de minimum 6 luni în cel puțin unul din domeniile de activitate, aferente activităților relevante pe care acesta le implementează în cadrul proiectului</w:t>
            </w:r>
          </w:p>
        </w:tc>
        <w:tc>
          <w:tcPr>
            <w:tcW w:w="0" w:type="auto"/>
          </w:tcPr>
          <w:p w:rsidR="00BE515D" w:rsidRPr="008D3820" w:rsidRDefault="00BE515D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shd w:val="clear" w:color="auto" w:fill="DEEAF6" w:themeFill="accent1" w:themeFillTint="33"/>
          </w:tcPr>
          <w:p w:rsidR="004777C0" w:rsidRPr="008D3820" w:rsidRDefault="004777C0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>4</w:t>
            </w:r>
          </w:p>
        </w:tc>
        <w:tc>
          <w:tcPr>
            <w:tcW w:w="5305" w:type="dxa"/>
            <w:shd w:val="clear" w:color="auto" w:fill="DEEAF6" w:themeFill="accent1" w:themeFillTint="33"/>
          </w:tcPr>
          <w:p w:rsidR="004777C0" w:rsidRPr="008D3820" w:rsidRDefault="004777C0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  <w:t xml:space="preserve">SUSTENABILITATE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– măsura în care proiectul asigură</w:t>
            </w:r>
          </w:p>
          <w:p w:rsidR="004777C0" w:rsidRPr="008D3820" w:rsidRDefault="004777C0" w:rsidP="00BB1664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continuarea efectelor sale şi valorificarea rezultatelor</w:t>
            </w:r>
            <w:r w:rsidR="00BB1664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obținute după încetarea sursei de finanţare</w:t>
            </w:r>
          </w:p>
        </w:tc>
        <w:tc>
          <w:tcPr>
            <w:tcW w:w="6204" w:type="dxa"/>
            <w:shd w:val="clear" w:color="auto" w:fill="DEEAF6" w:themeFill="accent1" w:themeFillTint="33"/>
          </w:tcPr>
          <w:p w:rsidR="004777C0" w:rsidRPr="008D3820" w:rsidRDefault="004777C0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000000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Dacă scorul obţinut la acest criteriu nu este de minimum 7puncte, proiectul nu va mai fi evaluat în continuare şi va fi</w:t>
            </w:r>
            <w:r w:rsidR="00BB1664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declarat respins, în situaţia în care nu se consideră</w:t>
            </w:r>
            <w:r w:rsidR="008D3820"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,BoldItalic"/>
                <w:b/>
                <w:bCs/>
                <w:i/>
                <w:iCs/>
                <w:color w:val="1F4E79"/>
                <w:sz w:val="18"/>
                <w:szCs w:val="18"/>
                <w:lang w:val="ro-RO"/>
              </w:rPr>
              <w:t>necesară solicitarea de clarificări.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4777C0" w:rsidRPr="008D3820" w:rsidRDefault="004777C0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Max. 10</w:t>
            </w:r>
          </w:p>
          <w:p w:rsidR="004777C0" w:rsidRPr="008D3820" w:rsidRDefault="004777C0" w:rsidP="004777C0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Min. 7</w:t>
            </w:r>
          </w:p>
        </w:tc>
      </w:tr>
      <w:tr w:rsidR="008D3820" w:rsidRPr="008D3820" w:rsidTr="008D3820">
        <w:tc>
          <w:tcPr>
            <w:tcW w:w="630" w:type="dxa"/>
          </w:tcPr>
          <w:p w:rsidR="004777C0" w:rsidRPr="008D3820" w:rsidRDefault="004777C0">
            <w:pPr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4.1</w:t>
            </w:r>
          </w:p>
        </w:tc>
        <w:tc>
          <w:tcPr>
            <w:tcW w:w="5305" w:type="dxa"/>
          </w:tcPr>
          <w:p w:rsidR="004777C0" w:rsidRPr="008D3820" w:rsidRDefault="004777C0" w:rsidP="00417316">
            <w:pPr>
              <w:autoSpaceDE w:val="0"/>
              <w:autoSpaceDN w:val="0"/>
              <w:adjustRightInd w:val="0"/>
              <w:rPr>
                <w:rFonts w:ascii="Trebuchet MS" w:hAnsi="Trebuchet MS" w:cs="TrebuchetMS,Bold"/>
                <w:b/>
                <w:bCs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Proiectul include activități în timpul implementării care</w:t>
            </w:r>
            <w:r w:rsidR="00417316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duc la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u w:val="single"/>
                <w:lang w:val="ro-RO"/>
              </w:rPr>
              <w:t>valorificarea rezultatelor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proiectului după finalizarea acestuia.</w:t>
            </w:r>
          </w:p>
        </w:tc>
        <w:tc>
          <w:tcPr>
            <w:tcW w:w="6204" w:type="dxa"/>
          </w:tcPr>
          <w:p w:rsidR="004777C0" w:rsidRPr="008D3820" w:rsidRDefault="004777C0" w:rsidP="008D382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 are prevăzute, din timpul implementării,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acţiuni/activităţi care duc la sustenabilitatea proiectului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(de exemplu, crearea de parteneriate, implicare în proiect</w:t>
            </w:r>
            <w:r w:rsidR="005D604D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a altor factori interesaţi, alocarea în bugetul viitor a unei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sume pentru continuarea activităţii, valorificarea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rezultatelor printr-un alt proiect/alte activităţi, demararea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unor activităţi care să c</w:t>
            </w:r>
            <w:r w:rsidR="008D3820"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ontinue proiectul prezent etc.)</w:t>
            </w:r>
          </w:p>
        </w:tc>
        <w:tc>
          <w:tcPr>
            <w:tcW w:w="0" w:type="auto"/>
          </w:tcPr>
          <w:p w:rsidR="004777C0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6</w:t>
            </w:r>
          </w:p>
        </w:tc>
      </w:tr>
      <w:tr w:rsidR="008D3820" w:rsidRPr="008D3820" w:rsidTr="008D3820">
        <w:tc>
          <w:tcPr>
            <w:tcW w:w="630" w:type="dxa"/>
            <w:vMerge w:val="restart"/>
          </w:tcPr>
          <w:p w:rsidR="00BE515D" w:rsidRPr="008D3820" w:rsidRDefault="00BE515D" w:rsidP="00165D21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4.2</w:t>
            </w:r>
          </w:p>
        </w:tc>
        <w:tc>
          <w:tcPr>
            <w:tcW w:w="5305" w:type="dxa"/>
            <w:vMerge w:val="restart"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Proiectul include activități în timpul implementării care duc la 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u w:val="single"/>
                <w:lang w:val="ro-RO"/>
              </w:rPr>
              <w:t>transferabilitatea</w:t>
            </w: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 xml:space="preserve"> rezultatelor proiectului către alt grup țintă/ alt sector etc.</w:t>
            </w:r>
          </w:p>
        </w:tc>
        <w:tc>
          <w:tcPr>
            <w:tcW w:w="6204" w:type="dxa"/>
          </w:tcPr>
          <w:p w:rsidR="00BE515D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Diseminarea rezultatelor către alte entităţi (de exemplu metodologii, materiale de instruire, curricula etc.)</w:t>
            </w:r>
          </w:p>
        </w:tc>
        <w:tc>
          <w:tcPr>
            <w:tcW w:w="0" w:type="auto"/>
          </w:tcPr>
          <w:p w:rsidR="00BE515D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2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 w:rsidP="00165D21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8D3820">
            <w:pPr>
              <w:autoSpaceDE w:val="0"/>
              <w:autoSpaceDN w:val="0"/>
              <w:adjustRightInd w:val="0"/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Utilizarea rezultatelor proiectului în activităţi/proiecte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ulterioare</w:t>
            </w:r>
          </w:p>
        </w:tc>
        <w:tc>
          <w:tcPr>
            <w:tcW w:w="0" w:type="auto"/>
          </w:tcPr>
          <w:p w:rsidR="00BE515D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</w:t>
            </w:r>
          </w:p>
        </w:tc>
      </w:tr>
      <w:tr w:rsidR="008D3820" w:rsidRPr="008D3820" w:rsidTr="008D3820">
        <w:tc>
          <w:tcPr>
            <w:tcW w:w="630" w:type="dxa"/>
            <w:vMerge/>
          </w:tcPr>
          <w:p w:rsidR="00BE515D" w:rsidRPr="008D3820" w:rsidRDefault="00BE515D">
            <w:pPr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5305" w:type="dxa"/>
            <w:vMerge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</w:p>
        </w:tc>
        <w:tc>
          <w:tcPr>
            <w:tcW w:w="6204" w:type="dxa"/>
          </w:tcPr>
          <w:p w:rsidR="00BE515D" w:rsidRPr="008D3820" w:rsidRDefault="00BE515D" w:rsidP="005D604D">
            <w:pPr>
              <w:autoSpaceDE w:val="0"/>
              <w:autoSpaceDN w:val="0"/>
              <w:adjustRightInd w:val="0"/>
              <w:rPr>
                <w:rFonts w:ascii="Trebuchet MS" w:eastAsia="Wingdings3" w:hAnsi="Trebuchet MS" w:cs="Wingdings3"/>
                <w:color w:val="FFC100"/>
                <w:sz w:val="18"/>
                <w:szCs w:val="18"/>
                <w:lang w:val="ro-RO"/>
              </w:rPr>
            </w:pPr>
            <w:r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>Proiectul și/sau rezultatele obținute în urma implementării acestuia sunt multiplicate la diferite niveluri (local,</w:t>
            </w:r>
            <w:r w:rsidR="008D3820" w:rsidRPr="008D3820">
              <w:rPr>
                <w:rFonts w:ascii="Trebuchet MS" w:eastAsia="Wingdings3" w:hAnsi="Trebuchet MS" w:cs="TrebuchetMS"/>
                <w:color w:val="1F4E79"/>
                <w:sz w:val="18"/>
                <w:szCs w:val="18"/>
                <w:lang w:val="ro-RO"/>
              </w:rPr>
              <w:t xml:space="preserve"> regional, sectorial, național)</w:t>
            </w:r>
          </w:p>
        </w:tc>
        <w:tc>
          <w:tcPr>
            <w:tcW w:w="0" w:type="auto"/>
          </w:tcPr>
          <w:p w:rsidR="00BE515D" w:rsidRPr="008D3820" w:rsidRDefault="00BE515D" w:rsidP="004777C0">
            <w:pPr>
              <w:autoSpaceDE w:val="0"/>
              <w:autoSpaceDN w:val="0"/>
              <w:adjustRightInd w:val="0"/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</w:pPr>
            <w:r w:rsidRPr="008D3820">
              <w:rPr>
                <w:rFonts w:ascii="Trebuchet MS" w:hAnsi="Trebuchet MS" w:cs="TrebuchetMS"/>
                <w:color w:val="1F4E79"/>
                <w:sz w:val="18"/>
                <w:szCs w:val="18"/>
                <w:lang w:val="ro-RO"/>
              </w:rPr>
              <w:t>1</w:t>
            </w:r>
          </w:p>
        </w:tc>
      </w:tr>
    </w:tbl>
    <w:p w:rsidR="004777C0" w:rsidRPr="00A32B26" w:rsidRDefault="004777C0" w:rsidP="00A86687">
      <w:pPr>
        <w:rPr>
          <w:rFonts w:ascii="TrebuchetMS,Bold" w:hAnsi="TrebuchetMS,Bold" w:cs="TrebuchetMS,Bold"/>
          <w:b/>
          <w:bCs/>
          <w:color w:val="1F4E79"/>
          <w:sz w:val="21"/>
          <w:szCs w:val="21"/>
          <w:lang w:val="ro-RO"/>
        </w:rPr>
      </w:pPr>
    </w:p>
    <w:sectPr w:rsidR="004777C0" w:rsidRPr="00A32B26" w:rsidSect="00D96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5C4" w:rsidRDefault="008C65C4" w:rsidP="00827278">
      <w:pPr>
        <w:spacing w:after="0" w:line="240" w:lineRule="auto"/>
      </w:pPr>
      <w:r>
        <w:separator/>
      </w:r>
    </w:p>
  </w:endnote>
  <w:endnote w:type="continuationSeparator" w:id="0">
    <w:p w:rsidR="008C65C4" w:rsidRDefault="008C65C4" w:rsidP="008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5C4" w:rsidRDefault="008C65C4" w:rsidP="00827278">
      <w:pPr>
        <w:spacing w:after="0" w:line="240" w:lineRule="auto"/>
      </w:pPr>
      <w:r>
        <w:separator/>
      </w:r>
    </w:p>
  </w:footnote>
  <w:footnote w:type="continuationSeparator" w:id="0">
    <w:p w:rsidR="008C65C4" w:rsidRDefault="008C65C4" w:rsidP="0082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9BB"/>
    <w:multiLevelType w:val="hybridMultilevel"/>
    <w:tmpl w:val="823EEFBA"/>
    <w:lvl w:ilvl="0" w:tplc="5F8032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D966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5E16"/>
    <w:multiLevelType w:val="hybridMultilevel"/>
    <w:tmpl w:val="619402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8EF0AAA"/>
    <w:multiLevelType w:val="hybridMultilevel"/>
    <w:tmpl w:val="2E4EBC08"/>
    <w:lvl w:ilvl="0" w:tplc="5F80322C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FFD966" w:themeColor="accent4" w:themeTint="99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2A"/>
    <w:rsid w:val="00036417"/>
    <w:rsid w:val="000E7E2F"/>
    <w:rsid w:val="00127678"/>
    <w:rsid w:val="0014208B"/>
    <w:rsid w:val="0014275C"/>
    <w:rsid w:val="001469C2"/>
    <w:rsid w:val="00167B21"/>
    <w:rsid w:val="001731B2"/>
    <w:rsid w:val="001A17E6"/>
    <w:rsid w:val="00281A03"/>
    <w:rsid w:val="002900D6"/>
    <w:rsid w:val="00294764"/>
    <w:rsid w:val="002E2E5F"/>
    <w:rsid w:val="002E6AD3"/>
    <w:rsid w:val="002F35CB"/>
    <w:rsid w:val="003716D8"/>
    <w:rsid w:val="003B6271"/>
    <w:rsid w:val="00404071"/>
    <w:rsid w:val="00415AC7"/>
    <w:rsid w:val="00416ACB"/>
    <w:rsid w:val="00417316"/>
    <w:rsid w:val="004777C0"/>
    <w:rsid w:val="00477E14"/>
    <w:rsid w:val="00490C9E"/>
    <w:rsid w:val="005D604D"/>
    <w:rsid w:val="006672E2"/>
    <w:rsid w:val="006B70CF"/>
    <w:rsid w:val="006E6161"/>
    <w:rsid w:val="007129DE"/>
    <w:rsid w:val="00725DE6"/>
    <w:rsid w:val="00795998"/>
    <w:rsid w:val="007E562C"/>
    <w:rsid w:val="00827278"/>
    <w:rsid w:val="0086510E"/>
    <w:rsid w:val="00881D52"/>
    <w:rsid w:val="008B0122"/>
    <w:rsid w:val="008C65C4"/>
    <w:rsid w:val="008D3820"/>
    <w:rsid w:val="009B0096"/>
    <w:rsid w:val="009B3D8E"/>
    <w:rsid w:val="00A32B26"/>
    <w:rsid w:val="00A42350"/>
    <w:rsid w:val="00A70DAE"/>
    <w:rsid w:val="00A73C5E"/>
    <w:rsid w:val="00A86687"/>
    <w:rsid w:val="00B10FE9"/>
    <w:rsid w:val="00B37156"/>
    <w:rsid w:val="00B85A5C"/>
    <w:rsid w:val="00BB1664"/>
    <w:rsid w:val="00BD0ADF"/>
    <w:rsid w:val="00BE515D"/>
    <w:rsid w:val="00C503B3"/>
    <w:rsid w:val="00C536FC"/>
    <w:rsid w:val="00CC442A"/>
    <w:rsid w:val="00CD40A1"/>
    <w:rsid w:val="00D96CD9"/>
    <w:rsid w:val="00DD5C8B"/>
    <w:rsid w:val="00DE5202"/>
    <w:rsid w:val="00DF0681"/>
    <w:rsid w:val="00EA36D3"/>
    <w:rsid w:val="00EF7C87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5DB0F5-CBC2-4F00-B5E1-D3B8538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78"/>
  </w:style>
  <w:style w:type="paragraph" w:styleId="Footer">
    <w:name w:val="footer"/>
    <w:basedOn w:val="Normal"/>
    <w:link w:val="FooterChar"/>
    <w:uiPriority w:val="99"/>
    <w:unhideWhenUsed/>
    <w:rsid w:val="0082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78"/>
  </w:style>
  <w:style w:type="paragraph" w:styleId="BalloonText">
    <w:name w:val="Balloon Text"/>
    <w:basedOn w:val="Normal"/>
    <w:link w:val="BalloonTextChar"/>
    <w:uiPriority w:val="99"/>
    <w:semiHidden/>
    <w:unhideWhenUsed/>
    <w:rsid w:val="001A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9A5A-E457-442F-B181-C8A80FFB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1774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Silaghi</dc:creator>
  <cp:keywords/>
  <dc:description/>
  <cp:lastModifiedBy>Daniel Popa</cp:lastModifiedBy>
  <cp:revision>61</cp:revision>
  <cp:lastPrinted>2017-06-13T09:52:00Z</cp:lastPrinted>
  <dcterms:created xsi:type="dcterms:W3CDTF">2017-06-13T07:47:00Z</dcterms:created>
  <dcterms:modified xsi:type="dcterms:W3CDTF">2017-07-07T08:01:00Z</dcterms:modified>
</cp:coreProperties>
</file>